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DAA2" w14:textId="68059258" w:rsidR="00C800C8" w:rsidRPr="009758D7" w:rsidRDefault="00C800C8" w:rsidP="00C800C8">
      <w:pPr>
        <w:rPr>
          <w:b/>
          <w:bCs/>
          <w:color w:val="0070C0"/>
          <w:sz w:val="36"/>
          <w:szCs w:val="36"/>
        </w:rPr>
      </w:pPr>
      <w:r w:rsidRPr="009758D7">
        <w:rPr>
          <w:b/>
          <w:bCs/>
          <w:color w:val="0070C0"/>
          <w:sz w:val="36"/>
          <w:szCs w:val="36"/>
        </w:rPr>
        <w:t>Asset Transfers UW8161 &amp; School of Medicine</w:t>
      </w:r>
    </w:p>
    <w:p w14:paraId="17292C1F" w14:textId="77777777" w:rsidR="006522F2" w:rsidRPr="006522F2" w:rsidRDefault="006522F2" w:rsidP="006522F2">
      <w:r w:rsidRPr="006522F2">
        <w:t>TRANSFER is used:</w:t>
      </w:r>
    </w:p>
    <w:p w14:paraId="218E66DF" w14:textId="2A717881" w:rsidR="006522F2" w:rsidRPr="006522F2" w:rsidRDefault="006522F2" w:rsidP="006522F2">
      <w:pPr>
        <w:numPr>
          <w:ilvl w:val="0"/>
          <w:numId w:val="1"/>
        </w:numPr>
      </w:pPr>
      <w:r w:rsidRPr="006522F2">
        <w:t>To change an existing location</w:t>
      </w:r>
      <w:r w:rsidRPr="006522F2">
        <w:br/>
        <w:t>(or add one if you forgot to do this during “Issue to Worker”)</w:t>
      </w:r>
    </w:p>
    <w:p w14:paraId="6F0D4908" w14:textId="43D1FFF9" w:rsidR="006522F2" w:rsidRPr="006522F2" w:rsidRDefault="006522F2" w:rsidP="006522F2">
      <w:pPr>
        <w:numPr>
          <w:ilvl w:val="0"/>
          <w:numId w:val="1"/>
        </w:numPr>
      </w:pPr>
      <w:r w:rsidRPr="006522F2">
        <w:t>Change an existing “Issued To” person</w:t>
      </w:r>
      <w:r w:rsidR="00B64062">
        <w:t>.</w:t>
      </w:r>
      <w:r w:rsidRPr="006522F2">
        <w:t xml:space="preserve"> </w:t>
      </w:r>
    </w:p>
    <w:p w14:paraId="6BB7B7CE" w14:textId="6A55CBF2" w:rsidR="006522F2" w:rsidRPr="006522F2" w:rsidRDefault="006522F2" w:rsidP="006522F2">
      <w:pPr>
        <w:numPr>
          <w:ilvl w:val="0"/>
          <w:numId w:val="1"/>
        </w:numPr>
      </w:pPr>
      <w:r w:rsidRPr="006522F2">
        <w:t xml:space="preserve">Change an existing </w:t>
      </w:r>
      <w:proofErr w:type="spellStart"/>
      <w:r w:rsidRPr="006522F2">
        <w:t>Worktag</w:t>
      </w:r>
      <w:proofErr w:type="spellEnd"/>
      <w:r w:rsidRPr="006522F2">
        <w:t xml:space="preserve">, usually the Cost Center but can be a change to any other </w:t>
      </w:r>
      <w:proofErr w:type="spellStart"/>
      <w:r w:rsidRPr="006522F2">
        <w:t>Worktag</w:t>
      </w:r>
      <w:proofErr w:type="spellEnd"/>
      <w:r w:rsidRPr="006522F2">
        <w:t xml:space="preserve"> such as fund, function, grant</w:t>
      </w:r>
      <w:r w:rsidR="00B64062">
        <w:t>,</w:t>
      </w:r>
      <w:r w:rsidRPr="006522F2">
        <w:t xml:space="preserve"> or resource.</w:t>
      </w:r>
    </w:p>
    <w:p w14:paraId="391E8DC1" w14:textId="4F302B60" w:rsidR="00744394" w:rsidRDefault="006522F2" w:rsidP="001B4DBC">
      <w:pPr>
        <w:numPr>
          <w:ilvl w:val="1"/>
          <w:numId w:val="1"/>
        </w:numPr>
        <w:spacing w:after="0" w:line="240" w:lineRule="auto"/>
      </w:pPr>
      <w:r w:rsidRPr="006522F2">
        <w:t xml:space="preserve"> Unit Asset Coordinators may only initiate transfers within the same company</w:t>
      </w:r>
      <w:r w:rsidR="00431535">
        <w:t xml:space="preserve"> (</w:t>
      </w:r>
      <w:r w:rsidR="00431535" w:rsidRPr="00431535">
        <w:rPr>
          <w:b/>
          <w:bCs/>
          <w:i/>
          <w:iCs/>
        </w:rPr>
        <w:t>Intracompany</w:t>
      </w:r>
      <w:r w:rsidR="00431535">
        <w:t xml:space="preserve"> transfer)</w:t>
      </w:r>
    </w:p>
    <w:p w14:paraId="02135C71" w14:textId="00A2AFF4" w:rsidR="006522F2" w:rsidRPr="006522F2" w:rsidRDefault="00F759C2" w:rsidP="001B4DBC">
      <w:pPr>
        <w:numPr>
          <w:ilvl w:val="1"/>
          <w:numId w:val="1"/>
        </w:numPr>
        <w:spacing w:after="0" w:line="240" w:lineRule="auto"/>
      </w:pPr>
      <w:r>
        <w:t xml:space="preserve">If </w:t>
      </w:r>
      <w:r w:rsidR="00955222">
        <w:t>you want to request a transfer to a different company (e.g.</w:t>
      </w:r>
      <w:r w:rsidR="00744394">
        <w:t>,</w:t>
      </w:r>
      <w:r w:rsidR="00955222">
        <w:t xml:space="preserve"> UW1861</w:t>
      </w:r>
      <w:r w:rsidR="00744394">
        <w:t xml:space="preserve"> assets transferred</w:t>
      </w:r>
      <w:r w:rsidR="00955222">
        <w:t xml:space="preserve"> to School of Medicine) </w:t>
      </w:r>
      <w:r w:rsidR="00955222" w:rsidRPr="00D134A3">
        <w:rPr>
          <w:b/>
          <w:bCs/>
          <w:i/>
          <w:iCs/>
        </w:rPr>
        <w:t>please submit a UW connect request form.</w:t>
      </w:r>
    </w:p>
    <w:p w14:paraId="78435455" w14:textId="04C2AF13" w:rsidR="00C800C8" w:rsidRDefault="00C800C8" w:rsidP="00C800C8">
      <w:pPr>
        <w:rPr>
          <w:b/>
          <w:bCs/>
          <w:color w:val="0070C0"/>
        </w:rPr>
      </w:pPr>
      <w:r>
        <w:rPr>
          <w:b/>
          <w:bCs/>
          <w:color w:val="0070C0"/>
        </w:rPr>
        <w:t>Please review the information below to learn how “Transfer” has been configured at UW:</w:t>
      </w:r>
    </w:p>
    <w:tbl>
      <w:tblPr>
        <w:tblW w:w="11060" w:type="dxa"/>
        <w:tblInd w:w="-113" w:type="dxa"/>
        <w:tblLook w:val="04A0" w:firstRow="1" w:lastRow="0" w:firstColumn="1" w:lastColumn="0" w:noHBand="0" w:noVBand="1"/>
      </w:tblPr>
      <w:tblGrid>
        <w:gridCol w:w="5100"/>
        <w:gridCol w:w="3380"/>
        <w:gridCol w:w="2580"/>
      </w:tblGrid>
      <w:tr w:rsidR="00C800C8" w14:paraId="3E5D665E" w14:textId="77777777" w:rsidTr="00C800C8">
        <w:trPr>
          <w:trHeight w:val="36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9BC1"/>
            <w:noWrap/>
            <w:vAlign w:val="center"/>
            <w:hideMark/>
          </w:tcPr>
          <w:p w14:paraId="4A074846" w14:textId="77777777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>Transfer is used to: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9BC1"/>
            <w:noWrap/>
            <w:vAlign w:val="center"/>
            <w:hideMark/>
          </w:tcPr>
          <w:p w14:paraId="146C87F7" w14:textId="77777777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>Can be Initiated by: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9BC1"/>
            <w:noWrap/>
            <w:vAlign w:val="center"/>
            <w:hideMark/>
          </w:tcPr>
          <w:p w14:paraId="22A8BCBD" w14:textId="77777777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>Approvals required?</w:t>
            </w:r>
          </w:p>
        </w:tc>
      </w:tr>
      <w:tr w:rsidR="00C800C8" w14:paraId="3213980D" w14:textId="77777777" w:rsidTr="00C800C8">
        <w:trPr>
          <w:trHeight w:val="8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F779" w14:textId="46250344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1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Change an </w:t>
            </w:r>
            <w:r w:rsidRPr="00C800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existing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asset location.</w:t>
            </w:r>
            <w:r w:rsidR="002077C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br/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br/>
            </w:r>
            <w:r w:rsidR="002077CE" w:rsidRPr="002077CE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exception</w:t>
            </w:r>
            <w:r w:rsidR="002077CE" w:rsidRPr="002077C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: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if when you “Issued” an asset to a custodian for the first time, you forgot to </w:t>
            </w:r>
            <w:r w:rsidR="002077C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add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the </w:t>
            </w:r>
            <w:r w:rsidR="002077C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asset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location</w:t>
            </w:r>
            <w:r w:rsidR="002077C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information to the Issue to Worker screen, you </w:t>
            </w:r>
            <w:r w:rsidR="00263F2B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may</w:t>
            </w:r>
            <w:r w:rsidR="002077C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use “Transfer” to add a location.</w:t>
            </w:r>
            <w:r w:rsidR="002077C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br/>
            </w:r>
            <w:r w:rsidR="002077C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br/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8FD5" w14:textId="77777777" w:rsidR="00C800C8" w:rsidRDefault="00C80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Unit Asset Coordinator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Business Asset Tracking Specialist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Business Asset Accountant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C508" w14:textId="77777777" w:rsidR="00C800C8" w:rsidRDefault="00C8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eastAsia="Times New Roman" w:hAnsi="Calibri" w:cs="Calibri"/>
                <w:color w:val="C00000"/>
              </w:rPr>
              <w:t>No</w:t>
            </w:r>
          </w:p>
        </w:tc>
      </w:tr>
      <w:tr w:rsidR="00C800C8" w14:paraId="6E700096" w14:textId="77777777" w:rsidTr="00C800C8">
        <w:trPr>
          <w:trHeight w:val="8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03E3" w14:textId="3852AB51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Change an </w:t>
            </w:r>
            <w:r w:rsidRPr="00C800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existing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“Issued to” person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br/>
              <w:t>to a different “Issued to” person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br/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br/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FB26" w14:textId="77777777" w:rsidR="00C800C8" w:rsidRDefault="00C80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Unit Asset Coordinator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Business Asset Tracking Specialist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Business Asset Accountant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B8EC" w14:textId="56832182" w:rsidR="00C800C8" w:rsidRDefault="00C8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0000"/>
              </w:rPr>
            </w:pPr>
            <w:r>
              <w:rPr>
                <w:rFonts w:ascii="Calibri" w:eastAsia="Times New Roman" w:hAnsi="Calibri" w:cs="Calibri"/>
                <w:color w:val="C00000"/>
              </w:rPr>
              <w:t>No</w:t>
            </w:r>
          </w:p>
        </w:tc>
      </w:tr>
      <w:tr w:rsidR="00C800C8" w14:paraId="4628AF36" w14:textId="77777777" w:rsidTr="00C800C8">
        <w:trPr>
          <w:trHeight w:val="87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65F0" w14:textId="63E014A0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3.    Change an </w:t>
            </w:r>
            <w:r w:rsidRPr="00C800C8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sz w:val="20"/>
                <w:szCs w:val="20"/>
              </w:rPr>
              <w:t>existing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Worktag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, usually the Cost Center, but also includes changes to a fund, function, grant, or resource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Worktag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br/>
            </w:r>
          </w:p>
          <w:p w14:paraId="1DFA9450" w14:textId="1872F37C" w:rsidR="00C800C8" w:rsidRDefault="00C0157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C01573">
              <w:rPr>
                <w:rFonts w:ascii="Open Sans" w:eastAsia="Times New Roman" w:hAnsi="Open Sans" w:cs="Open Sans"/>
                <w:color w:val="FF0000"/>
                <w:sz w:val="20"/>
                <w:szCs w:val="20"/>
              </w:rPr>
              <w:t>*</w:t>
            </w:r>
            <w:r w:rsidR="0052746F" w:rsidRPr="0052746F">
              <w:rPr>
                <w:rFonts w:ascii="Open Sans" w:eastAsia="Times New Roman" w:hAnsi="Open Sans" w:cs="Open Sans"/>
                <w:sz w:val="20"/>
                <w:szCs w:val="20"/>
              </w:rPr>
              <w:t>S</w:t>
            </w:r>
            <w:r w:rsidRPr="0052746F">
              <w:rPr>
                <w:rFonts w:ascii="Open Sans" w:eastAsia="Times New Roman" w:hAnsi="Open Sans" w:cs="Open Sans"/>
                <w:sz w:val="20"/>
                <w:szCs w:val="20"/>
              </w:rPr>
              <w:t>ee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</w:t>
            </w:r>
            <w:r w:rsidR="006B7345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page 2 for details on updates to</w:t>
            </w:r>
            <w:r w:rsidR="006A051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 xml:space="preserve"> cost center</w:t>
            </w:r>
            <w:r w:rsidR="006B7345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78A9" w14:textId="43D2B366" w:rsidR="00C800C8" w:rsidRDefault="00C80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17CDEA" wp14:editId="1DE3B63B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537845</wp:posOffset>
                      </wp:positionV>
                      <wp:extent cx="2038350" cy="781050"/>
                      <wp:effectExtent l="38100" t="19050" r="19050" b="57150"/>
                      <wp:wrapNone/>
                      <wp:docPr id="8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8350" cy="78105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9473A9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85A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5.05pt;margin-top:42.35pt;width:160.5pt;height:6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" strokecolor="#9473a9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color w:val="000000"/>
              </w:rPr>
              <w:t>Unit Asset Coordinator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Business Asset Tracking Specialist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Business Asset Accountant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BCB2" w14:textId="77777777" w:rsidR="00C800C8" w:rsidRDefault="00C8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</w:rPr>
              <w:t>Yes</w:t>
            </w:r>
          </w:p>
        </w:tc>
      </w:tr>
    </w:tbl>
    <w:p w14:paraId="21D68D73" w14:textId="77777777" w:rsidR="00C800C8" w:rsidRDefault="00C800C8" w:rsidP="00C800C8">
      <w:pPr>
        <w:ind w:right="36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/>
      </w:r>
      <w:r>
        <w:rPr>
          <w:rFonts w:ascii="Open Sans" w:hAnsi="Open Sans" w:cs="Open Sans"/>
          <w:b/>
          <w:bCs/>
          <w:sz w:val="24"/>
          <w:szCs w:val="24"/>
        </w:rPr>
        <w:t xml:space="preserve">Approvals Required for </w:t>
      </w:r>
      <w:proofErr w:type="spellStart"/>
      <w:r>
        <w:rPr>
          <w:rFonts w:ascii="Open Sans" w:hAnsi="Open Sans" w:cs="Open Sans"/>
          <w:b/>
          <w:bCs/>
          <w:sz w:val="24"/>
          <w:szCs w:val="24"/>
        </w:rPr>
        <w:t>Worktag</w:t>
      </w:r>
      <w:proofErr w:type="spellEnd"/>
      <w:r>
        <w:rPr>
          <w:rFonts w:ascii="Open Sans" w:hAnsi="Open Sans" w:cs="Open Sans"/>
          <w:b/>
          <w:bCs/>
          <w:sz w:val="24"/>
          <w:szCs w:val="24"/>
        </w:rPr>
        <w:t xml:space="preserve"> changes (#3)</w:t>
      </w:r>
    </w:p>
    <w:tbl>
      <w:tblPr>
        <w:tblW w:w="11060" w:type="dxa"/>
        <w:tblInd w:w="-113" w:type="dxa"/>
        <w:tblLook w:val="04A0" w:firstRow="1" w:lastRow="0" w:firstColumn="1" w:lastColumn="0" w:noHBand="0" w:noVBand="1"/>
      </w:tblPr>
      <w:tblGrid>
        <w:gridCol w:w="3865"/>
        <w:gridCol w:w="3870"/>
        <w:gridCol w:w="3325"/>
      </w:tblGrid>
      <w:tr w:rsidR="00C800C8" w14:paraId="6C46797F" w14:textId="77777777" w:rsidTr="00C800C8">
        <w:trPr>
          <w:trHeight w:val="36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9BC1"/>
            <w:noWrap/>
            <w:vAlign w:val="center"/>
            <w:hideMark/>
          </w:tcPr>
          <w:p w14:paraId="3EFD3EA8" w14:textId="77777777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>Change submitted by: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Unit Asset Coordinator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9BC1"/>
            <w:noWrap/>
            <w:vAlign w:val="center"/>
            <w:hideMark/>
          </w:tcPr>
          <w:p w14:paraId="1459909F" w14:textId="77777777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>Change submitted by: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Business Asset Tracking Specialist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9BC1"/>
            <w:noWrap/>
            <w:vAlign w:val="center"/>
            <w:hideMark/>
          </w:tcPr>
          <w:p w14:paraId="4B0DD238" w14:textId="77777777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>Change submitted by: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Business Asset Accountant</w:t>
            </w:r>
          </w:p>
        </w:tc>
      </w:tr>
      <w:tr w:rsidR="00C800C8" w14:paraId="357C5587" w14:textId="77777777" w:rsidTr="00C800C8">
        <w:trPr>
          <w:trHeight w:val="87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DE18" w14:textId="341F1E02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1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Routes to Business Asset Tracking Specialist for approval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1A5C" w14:textId="77777777" w:rsidR="00C800C8" w:rsidRDefault="00C80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Routes to the FROM Cost Center Manager for approval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F484" w14:textId="77777777" w:rsidR="00C800C8" w:rsidRDefault="00C8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Routes to the FROM Cost Center Manager for approval</w:t>
            </w:r>
          </w:p>
        </w:tc>
      </w:tr>
      <w:tr w:rsidR="00C800C8" w14:paraId="64FAF21E" w14:textId="77777777" w:rsidTr="00C800C8">
        <w:trPr>
          <w:trHeight w:val="87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F355" w14:textId="77777777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Routes to the FROM Cost Center Manager for approval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F52C" w14:textId="77777777" w:rsidR="00C800C8" w:rsidRDefault="00C800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2.    Routes to the TO Cost Center Manager for approval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650A" w14:textId="77777777" w:rsidR="00C800C8" w:rsidRDefault="00C80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2.    Routes to the TO Cost Center Manager for approval</w:t>
            </w:r>
          </w:p>
        </w:tc>
      </w:tr>
      <w:tr w:rsidR="00C800C8" w14:paraId="0BED1F90" w14:textId="77777777" w:rsidTr="00C800C8">
        <w:trPr>
          <w:trHeight w:val="87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5FAA" w14:textId="77777777" w:rsidR="00C800C8" w:rsidRDefault="00C800C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3.    Routes to the TO Cost Center Manager for approval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AC6A" w14:textId="77777777" w:rsidR="00C800C8" w:rsidRDefault="00C800C8">
            <w:pP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2611" w14:textId="77777777" w:rsidR="00C800C8" w:rsidRDefault="00C800C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2B9ED90" w14:textId="26B62110" w:rsidR="00D57A1D" w:rsidRDefault="00D57A1D"/>
    <w:p w14:paraId="2CC7A247" w14:textId="1FE4AF58" w:rsidR="00526707" w:rsidRDefault="003C112E">
      <w:r w:rsidRPr="003C112E">
        <w:rPr>
          <w:b/>
          <w:bCs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3760B" wp14:editId="41F56CE9">
                <wp:simplePos x="0" y="0"/>
                <wp:positionH relativeFrom="column">
                  <wp:posOffset>3562350</wp:posOffset>
                </wp:positionH>
                <wp:positionV relativeFrom="paragraph">
                  <wp:posOffset>1733550</wp:posOffset>
                </wp:positionV>
                <wp:extent cx="660400" cy="222250"/>
                <wp:effectExtent l="0" t="0" r="25400" b="25400"/>
                <wp:wrapNone/>
                <wp:docPr id="7390724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222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EF6FB" id="Rectangle: Rounded Corners 2" o:spid="_x0000_s1026" style="position:absolute;margin-left:280.5pt;margin-top:136.5pt;width:52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Pr="003C112E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CDB34" wp14:editId="71F0B9A2">
                <wp:simplePos x="0" y="0"/>
                <wp:positionH relativeFrom="column">
                  <wp:posOffset>2368550</wp:posOffset>
                </wp:positionH>
                <wp:positionV relativeFrom="paragraph">
                  <wp:posOffset>1282700</wp:posOffset>
                </wp:positionV>
                <wp:extent cx="1117600" cy="196850"/>
                <wp:effectExtent l="0" t="0" r="25400" b="12700"/>
                <wp:wrapNone/>
                <wp:docPr id="47760857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96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25AC5" id="Rectangle: Rounded Corners 2" o:spid="_x0000_s1026" style="position:absolute;margin-left:186.5pt;margin-top:101pt;width:88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Pr="003C112E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F8255" wp14:editId="13F423EE">
                <wp:simplePos x="0" y="0"/>
                <wp:positionH relativeFrom="column">
                  <wp:posOffset>2216150</wp:posOffset>
                </wp:positionH>
                <wp:positionV relativeFrom="paragraph">
                  <wp:posOffset>793750</wp:posOffset>
                </wp:positionV>
                <wp:extent cx="330200" cy="209550"/>
                <wp:effectExtent l="0" t="0" r="12700" b="19050"/>
                <wp:wrapNone/>
                <wp:docPr id="20110147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C7083E" id="Rectangle: Rounded Corners 2" o:spid="_x0000_s1026" style="position:absolute;margin-left:174.5pt;margin-top:62.5pt;width:26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 w:rsidR="00526707" w:rsidRPr="003C112E">
        <w:rPr>
          <w:b/>
          <w:bCs/>
        </w:rPr>
        <w:t xml:space="preserve">Details on updating cost center </w:t>
      </w:r>
      <w:proofErr w:type="spellStart"/>
      <w:r w:rsidR="00526707" w:rsidRPr="003C112E">
        <w:rPr>
          <w:b/>
          <w:bCs/>
        </w:rPr>
        <w:t>worktag</w:t>
      </w:r>
      <w:proofErr w:type="spellEnd"/>
      <w:r w:rsidR="00526707" w:rsidRPr="003C112E">
        <w:rPr>
          <w:b/>
          <w:bCs/>
        </w:rPr>
        <w:t xml:space="preserve"> using Transfer:</w:t>
      </w:r>
      <w:r w:rsidR="00195CA7">
        <w:t xml:space="preserve"> </w:t>
      </w:r>
      <w:r w:rsidR="00195CA7">
        <w:br/>
      </w:r>
      <w:r>
        <w:t xml:space="preserve">To get to the Transfer screen: </w:t>
      </w:r>
      <w:r w:rsidR="00195CA7">
        <w:t>from the related actions menu, pick Business Asset, then Transfer</w:t>
      </w:r>
      <w:r w:rsidR="00195CA7">
        <w:br/>
      </w:r>
      <w:r w:rsidR="00195CA7">
        <w:rPr>
          <w:noProof/>
          <w14:ligatures w14:val="standardContextual"/>
        </w:rPr>
        <w:drawing>
          <wp:inline distT="0" distB="0" distL="0" distR="0" wp14:anchorId="2C83863A" wp14:editId="20CBE059">
            <wp:extent cx="4699242" cy="1638384"/>
            <wp:effectExtent l="0" t="0" r="6350" b="0"/>
            <wp:docPr id="20267252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25238" name="Picture 1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242" cy="163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437F0" w14:textId="35E4599E" w:rsidR="00655671" w:rsidRPr="00086BD3" w:rsidRDefault="00BE538C" w:rsidP="00655671">
      <w:pPr>
        <w:rPr>
          <w:b/>
          <w:bCs/>
          <w:color w:val="0070C0"/>
        </w:rPr>
      </w:pPr>
      <w:r w:rsidRPr="00086BD3">
        <w:rPr>
          <w:b/>
          <w:bCs/>
          <w:color w:val="0070C0"/>
        </w:rPr>
        <w:t>Updating the cost center o</w:t>
      </w:r>
      <w:r w:rsidR="00655671" w:rsidRPr="00086BD3">
        <w:rPr>
          <w:b/>
          <w:bCs/>
          <w:color w:val="0070C0"/>
        </w:rPr>
        <w:t>n the “Transfer Asset” screen</w:t>
      </w:r>
      <w:r w:rsidRPr="00086BD3">
        <w:rPr>
          <w:b/>
          <w:bCs/>
          <w:color w:val="0070C0"/>
        </w:rPr>
        <w:t xml:space="preserve"> to a different cost center within </w:t>
      </w:r>
      <w:r w:rsidR="00086BD3" w:rsidRPr="00086BD3">
        <w:rPr>
          <w:b/>
          <w:bCs/>
          <w:color w:val="0070C0"/>
        </w:rPr>
        <w:t>the same balancing unit:</w:t>
      </w:r>
    </w:p>
    <w:p w14:paraId="50228E0E" w14:textId="6987ECC0" w:rsidR="003C112E" w:rsidRDefault="00DC24F6" w:rsidP="00DC24F6">
      <w:pPr>
        <w:pStyle w:val="ListParagraph"/>
        <w:numPr>
          <w:ilvl w:val="0"/>
          <w:numId w:val="2"/>
        </w:numPr>
      </w:pPr>
      <w:r>
        <w:t xml:space="preserve">You will see the </w:t>
      </w:r>
      <w:r w:rsidR="003C112E">
        <w:t xml:space="preserve">“Current” </w:t>
      </w:r>
      <w:proofErr w:type="spellStart"/>
      <w:r w:rsidR="003C112E">
        <w:t>Worktags</w:t>
      </w:r>
      <w:proofErr w:type="spellEnd"/>
      <w:r w:rsidR="003C112E">
        <w:t xml:space="preserve"> displayed on the right</w:t>
      </w:r>
      <w:r w:rsidR="00655671">
        <w:t>.</w:t>
      </w:r>
    </w:p>
    <w:p w14:paraId="38E515F6" w14:textId="16F812A3" w:rsidR="003C112E" w:rsidRDefault="003C112E" w:rsidP="00DC24F6">
      <w:pPr>
        <w:pStyle w:val="ListParagraph"/>
        <w:numPr>
          <w:ilvl w:val="0"/>
          <w:numId w:val="2"/>
        </w:numPr>
      </w:pPr>
      <w:r>
        <w:t xml:space="preserve">you may add or update </w:t>
      </w:r>
      <w:proofErr w:type="spellStart"/>
      <w:r>
        <w:t>worktags</w:t>
      </w:r>
      <w:proofErr w:type="spellEnd"/>
      <w:r w:rsidR="00655671">
        <w:t xml:space="preserve"> </w:t>
      </w:r>
      <w:r w:rsidR="001E35FD">
        <w:t>using</w:t>
      </w:r>
      <w:r w:rsidR="00655671">
        <w:t xml:space="preserve"> the </w:t>
      </w:r>
      <w:r w:rsidR="0015371F">
        <w:t>column</w:t>
      </w:r>
      <w:r w:rsidR="00086BD3">
        <w:t xml:space="preserve"> on the left</w:t>
      </w:r>
      <w:proofErr w:type="gramStart"/>
      <w:r w:rsidR="00086BD3">
        <w:t xml:space="preserve">: </w:t>
      </w:r>
      <w:r w:rsidR="0015371F">
        <w:t xml:space="preserve"> “</w:t>
      </w:r>
      <w:proofErr w:type="gramEnd"/>
      <w:r w:rsidR="0015371F">
        <w:t>Transfer To Values”</w:t>
      </w:r>
    </w:p>
    <w:p w14:paraId="02B87357" w14:textId="6A118E7C" w:rsidR="006B4384" w:rsidRDefault="003C112E" w:rsidP="00DC24F6">
      <w:pPr>
        <w:pStyle w:val="ListParagraph"/>
        <w:numPr>
          <w:ilvl w:val="0"/>
          <w:numId w:val="2"/>
        </w:numPr>
      </w:pPr>
      <w:r>
        <w:t>If you are transferring to a different COST CENTER,</w:t>
      </w:r>
      <w:r w:rsidR="0015371F">
        <w:t xml:space="preserve"> and are doing a search,</w:t>
      </w:r>
      <w:r>
        <w:t xml:space="preserve"> you will only see the Cost Centers Available in the </w:t>
      </w:r>
      <w:r w:rsidR="006B4384">
        <w:t xml:space="preserve">Balancing Unit displayed in the “Additional </w:t>
      </w:r>
      <w:proofErr w:type="spellStart"/>
      <w:r w:rsidR="006B4384">
        <w:t>Worktags</w:t>
      </w:r>
      <w:proofErr w:type="spellEnd"/>
      <w:r w:rsidR="006B4384">
        <w:t xml:space="preserve">” section. </w:t>
      </w:r>
      <w:r w:rsidR="00456529">
        <w:t>Example:</w:t>
      </w:r>
    </w:p>
    <w:p w14:paraId="77E5F3BA" w14:textId="1AE1B66A" w:rsidR="00A83846" w:rsidRDefault="006B4384" w:rsidP="006B4384">
      <w:pPr>
        <w:pStyle w:val="ListParagraph"/>
        <w:numPr>
          <w:ilvl w:val="1"/>
          <w:numId w:val="2"/>
        </w:numPr>
      </w:pPr>
      <w:r>
        <w:t>If BU102 Bothell,</w:t>
      </w:r>
      <w:r w:rsidR="00C3607F">
        <w:t xml:space="preserve"> is in the additional </w:t>
      </w:r>
      <w:proofErr w:type="spellStart"/>
      <w:r w:rsidR="00C3607F">
        <w:t>worktags</w:t>
      </w:r>
      <w:proofErr w:type="spellEnd"/>
      <w:r w:rsidR="00C3607F">
        <w:t xml:space="preserve"> section, </w:t>
      </w:r>
      <w:r w:rsidR="00456529">
        <w:t xml:space="preserve">when searching in the “Cost Center” box </w:t>
      </w:r>
      <w:r w:rsidR="00A83846">
        <w:t>for a different cost center, you will only see Cost centers mapped to BU102</w:t>
      </w:r>
      <w:r w:rsidR="001E35FD">
        <w:t>.</w:t>
      </w:r>
    </w:p>
    <w:p w14:paraId="0269B2E1" w14:textId="45762076" w:rsidR="001E35FD" w:rsidRDefault="001E35FD" w:rsidP="001E35FD"/>
    <w:p w14:paraId="0959A3E7" w14:textId="7B9E326D" w:rsidR="002E4622" w:rsidRDefault="001E35FD" w:rsidP="002E4622">
      <w:r w:rsidRPr="00086BD3">
        <w:rPr>
          <w:b/>
          <w:bCs/>
          <w:color w:val="0070C0"/>
        </w:rPr>
        <w:t>How to transfer an asset to a different balancing Unit</w:t>
      </w:r>
      <w:r w:rsidR="002E4622" w:rsidRPr="00086BD3">
        <w:rPr>
          <w:b/>
          <w:bCs/>
          <w:color w:val="0070C0"/>
        </w:rPr>
        <w:t>:</w:t>
      </w:r>
      <w:r w:rsidR="002E4622">
        <w:rPr>
          <w:b/>
          <w:bCs/>
        </w:rPr>
        <w:br/>
        <w:t xml:space="preserve">Scenario: </w:t>
      </w:r>
      <w:r w:rsidR="00121CA7">
        <w:t xml:space="preserve">An asset belonging to BU102 Bothell is going to be transferred to </w:t>
      </w:r>
      <w:r w:rsidR="00262AD3">
        <w:t>BU132, College of Engineering</w:t>
      </w:r>
    </w:p>
    <w:p w14:paraId="4FBC45D1" w14:textId="77777777" w:rsidR="00086BD3" w:rsidRDefault="0069406C" w:rsidP="00AB243E">
      <w:pPr>
        <w:pStyle w:val="ListParagraph"/>
        <w:numPr>
          <w:ilvl w:val="0"/>
          <w:numId w:val="4"/>
        </w:numPr>
      </w:pPr>
      <w:r>
        <w:t xml:space="preserve">The Unit Asset Coordinator (UAC) from Bothell, should </w:t>
      </w:r>
      <w:r w:rsidR="00AB243E">
        <w:t>prepare for the transfer:</w:t>
      </w:r>
    </w:p>
    <w:p w14:paraId="64A4A2E4" w14:textId="77777777" w:rsidR="00C108E3" w:rsidRDefault="00C108E3" w:rsidP="00086BD3">
      <w:pPr>
        <w:pStyle w:val="ListParagraph"/>
        <w:numPr>
          <w:ilvl w:val="1"/>
          <w:numId w:val="4"/>
        </w:numPr>
      </w:pPr>
      <w:r>
        <w:t xml:space="preserve">Determine the desired “Transaction Effective </w:t>
      </w:r>
      <w:proofErr w:type="gramStart"/>
      <w:r>
        <w:t>Date”</w:t>
      </w:r>
      <w:proofErr w:type="gramEnd"/>
    </w:p>
    <w:p w14:paraId="2DC25EEE" w14:textId="02090488" w:rsidR="00A83846" w:rsidRDefault="00C108E3" w:rsidP="00193012">
      <w:pPr>
        <w:pStyle w:val="ListParagraph"/>
        <w:numPr>
          <w:ilvl w:val="1"/>
          <w:numId w:val="4"/>
        </w:numPr>
      </w:pPr>
      <w:r>
        <w:t>Contact the Unit Asset Coordinator from BU132 for the other</w:t>
      </w:r>
      <w:r w:rsidR="0069406C">
        <w:t xml:space="preserve"> “transfer to” </w:t>
      </w:r>
      <w:proofErr w:type="gramStart"/>
      <w:r w:rsidR="0069406C">
        <w:t xml:space="preserve">values </w:t>
      </w:r>
      <w:r>
        <w:t>:</w:t>
      </w:r>
      <w:proofErr w:type="gramEnd"/>
    </w:p>
    <w:p w14:paraId="19A69523" w14:textId="7E127A3A" w:rsidR="00C108E3" w:rsidRDefault="001442F0" w:rsidP="00C108E3">
      <w:pPr>
        <w:pStyle w:val="ListParagraph"/>
        <w:numPr>
          <w:ilvl w:val="2"/>
          <w:numId w:val="4"/>
        </w:numPr>
      </w:pPr>
      <w:r>
        <w:t>Transfer To worker name</w:t>
      </w:r>
    </w:p>
    <w:p w14:paraId="4FB8B2DA" w14:textId="00FBD4CD" w:rsidR="001442F0" w:rsidRDefault="001442F0" w:rsidP="00C108E3">
      <w:pPr>
        <w:pStyle w:val="ListParagraph"/>
        <w:numPr>
          <w:ilvl w:val="2"/>
          <w:numId w:val="4"/>
        </w:numPr>
      </w:pPr>
      <w:r>
        <w:t xml:space="preserve">Transfer to location </w:t>
      </w:r>
    </w:p>
    <w:p w14:paraId="5EB6586F" w14:textId="5B9DA25E" w:rsidR="001442F0" w:rsidRDefault="00E6735A" w:rsidP="00C108E3">
      <w:pPr>
        <w:pStyle w:val="ListParagraph"/>
        <w:numPr>
          <w:ilvl w:val="2"/>
          <w:numId w:val="4"/>
        </w:numPr>
      </w:pPr>
      <w:r>
        <w:t xml:space="preserve">Other desired </w:t>
      </w:r>
      <w:proofErr w:type="spellStart"/>
      <w:proofErr w:type="gramStart"/>
      <w:r>
        <w:t>worktags</w:t>
      </w:r>
      <w:proofErr w:type="spellEnd"/>
      <w:proofErr w:type="gramEnd"/>
      <w:r>
        <w:t xml:space="preserve">, </w:t>
      </w:r>
      <w:proofErr w:type="gramStart"/>
      <w:r>
        <w:t>e.g.</w:t>
      </w:r>
      <w:proofErr w:type="gramEnd"/>
      <w:r>
        <w:t xml:space="preserve"> </w:t>
      </w:r>
      <w:r w:rsidR="00C96964">
        <w:t xml:space="preserve">ask for the new cost center, and resource tag. The cost center will populate the Balancing Unit and Function </w:t>
      </w:r>
      <w:proofErr w:type="spellStart"/>
      <w:r w:rsidR="00C96964">
        <w:t>worktags</w:t>
      </w:r>
      <w:proofErr w:type="spellEnd"/>
      <w:r w:rsidR="00C96964">
        <w:t xml:space="preserve">, the Resource tag will populate the Fund </w:t>
      </w:r>
      <w:proofErr w:type="gramStart"/>
      <w:r w:rsidR="00C96964">
        <w:t>tag</w:t>
      </w:r>
      <w:proofErr w:type="gramEnd"/>
    </w:p>
    <w:p w14:paraId="24EFD140" w14:textId="4B64F598" w:rsidR="00C96964" w:rsidRDefault="00C96964" w:rsidP="00C96964">
      <w:pPr>
        <w:pStyle w:val="ListParagraph"/>
        <w:numPr>
          <w:ilvl w:val="3"/>
          <w:numId w:val="4"/>
        </w:numPr>
      </w:pPr>
      <w:r>
        <w:t xml:space="preserve">Note you will need to REMOVE the </w:t>
      </w:r>
      <w:proofErr w:type="spellStart"/>
      <w:r>
        <w:t>worktag</w:t>
      </w:r>
      <w:proofErr w:type="spellEnd"/>
      <w:r>
        <w:t xml:space="preserve"> BU102 (Bothell) to search for cost centers outside of Bothell.</w:t>
      </w:r>
    </w:p>
    <w:p w14:paraId="1E0994CB" w14:textId="77C077D7" w:rsidR="00526707" w:rsidRDefault="006B4384" w:rsidP="00A83846">
      <w:r>
        <w:t xml:space="preserve"> </w:t>
      </w:r>
      <w:r w:rsidR="002F67C8">
        <w:t xml:space="preserve"> </w:t>
      </w:r>
    </w:p>
    <w:sectPr w:rsidR="00526707" w:rsidSect="00C800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3A0C"/>
    <w:multiLevelType w:val="hybridMultilevel"/>
    <w:tmpl w:val="1F5A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7980"/>
    <w:multiLevelType w:val="hybridMultilevel"/>
    <w:tmpl w:val="D740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442F6"/>
    <w:multiLevelType w:val="hybridMultilevel"/>
    <w:tmpl w:val="2214E0BA"/>
    <w:lvl w:ilvl="0" w:tplc="02164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4DE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3A26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4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47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E606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C3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6D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08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14849"/>
    <w:multiLevelType w:val="hybridMultilevel"/>
    <w:tmpl w:val="B30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17444">
    <w:abstractNumId w:val="2"/>
  </w:num>
  <w:num w:numId="2" w16cid:durableId="178009537">
    <w:abstractNumId w:val="3"/>
  </w:num>
  <w:num w:numId="3" w16cid:durableId="445277471">
    <w:abstractNumId w:val="0"/>
  </w:num>
  <w:num w:numId="4" w16cid:durableId="171699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C8"/>
    <w:rsid w:val="00086BD3"/>
    <w:rsid w:val="00121CA7"/>
    <w:rsid w:val="001442F0"/>
    <w:rsid w:val="0015371F"/>
    <w:rsid w:val="00195CA7"/>
    <w:rsid w:val="001B4DBC"/>
    <w:rsid w:val="001C60B6"/>
    <w:rsid w:val="001E35FD"/>
    <w:rsid w:val="002077CE"/>
    <w:rsid w:val="00262AD3"/>
    <w:rsid w:val="00263F2B"/>
    <w:rsid w:val="002C3403"/>
    <w:rsid w:val="002E4622"/>
    <w:rsid w:val="002F67C8"/>
    <w:rsid w:val="003C112E"/>
    <w:rsid w:val="00431535"/>
    <w:rsid w:val="00456529"/>
    <w:rsid w:val="00526707"/>
    <w:rsid w:val="0052746F"/>
    <w:rsid w:val="006522F2"/>
    <w:rsid w:val="00655671"/>
    <w:rsid w:val="006700A4"/>
    <w:rsid w:val="0069406C"/>
    <w:rsid w:val="006A051E"/>
    <w:rsid w:val="006B4384"/>
    <w:rsid w:val="006B7345"/>
    <w:rsid w:val="00744394"/>
    <w:rsid w:val="007829AF"/>
    <w:rsid w:val="008F0B24"/>
    <w:rsid w:val="00955222"/>
    <w:rsid w:val="009758D7"/>
    <w:rsid w:val="00A83846"/>
    <w:rsid w:val="00AB243E"/>
    <w:rsid w:val="00B64062"/>
    <w:rsid w:val="00BE538C"/>
    <w:rsid w:val="00C01573"/>
    <w:rsid w:val="00C108E3"/>
    <w:rsid w:val="00C3607F"/>
    <w:rsid w:val="00C800C8"/>
    <w:rsid w:val="00C96964"/>
    <w:rsid w:val="00D134A3"/>
    <w:rsid w:val="00D4575D"/>
    <w:rsid w:val="00D57A1D"/>
    <w:rsid w:val="00DC24F6"/>
    <w:rsid w:val="00E6735A"/>
    <w:rsid w:val="00F7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B1A0"/>
  <w15:chartTrackingRefBased/>
  <w15:docId w15:val="{8A2C7612-CA68-4EDD-B1A4-E710C9A9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C8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3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71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Friedmar</dc:creator>
  <cp:keywords/>
  <dc:description/>
  <cp:lastModifiedBy>Peggy J Vitullo</cp:lastModifiedBy>
  <cp:revision>2</cp:revision>
  <dcterms:created xsi:type="dcterms:W3CDTF">2023-09-25T14:27:00Z</dcterms:created>
  <dcterms:modified xsi:type="dcterms:W3CDTF">2023-09-25T14:27:00Z</dcterms:modified>
</cp:coreProperties>
</file>